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9ECA" w14:textId="77777777" w:rsidR="008262D0" w:rsidRPr="008D4DFC" w:rsidRDefault="008262D0" w:rsidP="008262D0">
      <w:pPr>
        <w:spacing w:after="200" w:line="276" w:lineRule="auto"/>
        <w:jc w:val="center"/>
        <w:rPr>
          <w:rFonts w:eastAsiaTheme="minorHAnsi" w:cstheme="minorBidi"/>
          <w:b/>
          <w:sz w:val="32"/>
          <w:szCs w:val="32"/>
        </w:rPr>
      </w:pPr>
      <w:r w:rsidRPr="008D4DFC">
        <w:rPr>
          <w:rFonts w:eastAsiaTheme="minorHAnsi" w:cstheme="minorBidi"/>
          <w:b/>
          <w:sz w:val="32"/>
          <w:szCs w:val="32"/>
        </w:rPr>
        <w:t>PHỤ LỤC II</w:t>
      </w:r>
    </w:p>
    <w:p w14:paraId="0FB872B8" w14:textId="77777777" w:rsidR="008262D0" w:rsidRPr="008D4DFC" w:rsidRDefault="008262D0" w:rsidP="008262D0">
      <w:pPr>
        <w:tabs>
          <w:tab w:val="left" w:pos="284"/>
        </w:tabs>
        <w:autoSpaceDE w:val="0"/>
        <w:autoSpaceDN w:val="0"/>
        <w:adjustRightInd w:val="0"/>
        <w:spacing w:before="60" w:after="60" w:line="262" w:lineRule="auto"/>
        <w:ind w:left="284" w:hanging="284"/>
        <w:jc w:val="both"/>
        <w:rPr>
          <w:b/>
          <w:bCs/>
          <w:sz w:val="28"/>
          <w:szCs w:val="28"/>
        </w:rPr>
      </w:pPr>
      <w:r w:rsidRPr="008D4DFC">
        <w:rPr>
          <w:b/>
          <w:bCs/>
          <w:sz w:val="28"/>
          <w:szCs w:val="28"/>
        </w:rPr>
        <w:t xml:space="preserve">A. ĐỊNH MỨC CHI HỖ TRỢ </w:t>
      </w:r>
      <w:r w:rsidRPr="008D4DFC">
        <w:rPr>
          <w:b/>
          <w:bCs/>
          <w:sz w:val="28"/>
          <w:szCs w:val="28"/>
          <w:lang w:val="vi-VN"/>
        </w:rPr>
        <w:t>THỰC HIỆN ĐỀ TÀI</w:t>
      </w:r>
      <w:r w:rsidRPr="008D4DFC">
        <w:rPr>
          <w:b/>
          <w:bCs/>
          <w:sz w:val="28"/>
          <w:szCs w:val="28"/>
        </w:rPr>
        <w:t xml:space="preserve"> </w:t>
      </w:r>
      <w:r w:rsidRPr="008D4DFC">
        <w:rPr>
          <w:b/>
          <w:sz w:val="28"/>
          <w:szCs w:val="28"/>
          <w:lang w:val="vi-VN"/>
        </w:rPr>
        <w:t xml:space="preserve">NCKH </w:t>
      </w:r>
      <w:r w:rsidRPr="008D4DFC">
        <w:rPr>
          <w:b/>
          <w:sz w:val="28"/>
          <w:szCs w:val="28"/>
        </w:rPr>
        <w:t xml:space="preserve">CỦA </w:t>
      </w:r>
      <w:r w:rsidRPr="008D4DFC">
        <w:rPr>
          <w:b/>
          <w:sz w:val="28"/>
          <w:szCs w:val="28"/>
          <w:lang w:val="vi-VN"/>
        </w:rPr>
        <w:t>SINH VIÊN CẤP TRƯỜNG</w:t>
      </w:r>
    </w:p>
    <w:p w14:paraId="3215AD53" w14:textId="77777777" w:rsidR="008262D0" w:rsidRPr="008D4DFC" w:rsidRDefault="008262D0" w:rsidP="008262D0">
      <w:pPr>
        <w:autoSpaceDE w:val="0"/>
        <w:autoSpaceDN w:val="0"/>
        <w:adjustRightInd w:val="0"/>
        <w:spacing w:before="60" w:after="60" w:line="262" w:lineRule="auto"/>
        <w:ind w:firstLine="567"/>
        <w:jc w:val="both"/>
        <w:rPr>
          <w:bCs/>
          <w:sz w:val="25"/>
          <w:szCs w:val="25"/>
          <w:lang w:val="vi-VN"/>
        </w:rPr>
      </w:pPr>
      <w:r w:rsidRPr="008D4DFC">
        <w:rPr>
          <w:bCs/>
          <w:sz w:val="25"/>
          <w:szCs w:val="25"/>
        </w:rPr>
        <w:t>1.</w:t>
      </w:r>
      <w:r w:rsidRPr="008D4DFC">
        <w:rPr>
          <w:bCs/>
          <w:sz w:val="25"/>
          <w:szCs w:val="25"/>
          <w:lang w:val="vi-VN"/>
        </w:rPr>
        <w:t xml:space="preserve"> Định mức</w:t>
      </w:r>
      <w:r w:rsidRPr="008D4DFC">
        <w:rPr>
          <w:bCs/>
          <w:sz w:val="25"/>
          <w:szCs w:val="25"/>
        </w:rPr>
        <w:t xml:space="preserve"> chi hỗ trợ </w:t>
      </w:r>
      <w:r w:rsidRPr="008D4DFC">
        <w:rPr>
          <w:bCs/>
          <w:sz w:val="25"/>
          <w:szCs w:val="25"/>
          <w:lang w:val="vi-VN"/>
        </w:rPr>
        <w:t>tiền công thực hiện đề tài</w:t>
      </w:r>
    </w:p>
    <w:p w14:paraId="04A710A3" w14:textId="77777777" w:rsidR="008262D0" w:rsidRPr="008D4DFC" w:rsidRDefault="008262D0" w:rsidP="008262D0">
      <w:pPr>
        <w:autoSpaceDE w:val="0"/>
        <w:autoSpaceDN w:val="0"/>
        <w:adjustRightInd w:val="0"/>
        <w:spacing w:before="60" w:after="60" w:line="262" w:lineRule="auto"/>
        <w:ind w:left="709" w:hanging="142"/>
        <w:jc w:val="both"/>
        <w:rPr>
          <w:bCs/>
          <w:sz w:val="25"/>
          <w:szCs w:val="25"/>
          <w:lang w:val="vi-VN"/>
        </w:rPr>
      </w:pPr>
      <w:r w:rsidRPr="008D4DFC">
        <w:rPr>
          <w:bCs/>
          <w:sz w:val="25"/>
          <w:szCs w:val="25"/>
          <w:lang w:val="vi-VN"/>
        </w:rPr>
        <w:t xml:space="preserve">- Hệ số tiền công theo ngày </w:t>
      </w:r>
      <w:r w:rsidRPr="008D4DFC">
        <w:rPr>
          <w:b/>
          <w:bCs/>
          <w:sz w:val="25"/>
          <w:szCs w:val="25"/>
          <w:lang w:val="vi-VN"/>
        </w:rPr>
        <w:t>(Hstcn)</w:t>
      </w:r>
    </w:p>
    <w:p w14:paraId="1835FBA2" w14:textId="77777777" w:rsidR="008262D0" w:rsidRPr="008D4DFC" w:rsidRDefault="008262D0" w:rsidP="008262D0">
      <w:pPr>
        <w:autoSpaceDE w:val="0"/>
        <w:autoSpaceDN w:val="0"/>
        <w:adjustRightInd w:val="0"/>
        <w:spacing w:before="60" w:after="60" w:line="262" w:lineRule="auto"/>
        <w:ind w:left="491" w:firstLine="643"/>
        <w:jc w:val="both"/>
        <w:rPr>
          <w:bCs/>
          <w:sz w:val="25"/>
          <w:szCs w:val="25"/>
          <w:lang w:val="vi-VN"/>
        </w:rPr>
      </w:pPr>
      <w:r w:rsidRPr="008D4DFC">
        <w:rPr>
          <w:bCs/>
          <w:sz w:val="25"/>
          <w:szCs w:val="25"/>
          <w:lang w:val="vi-VN"/>
        </w:rPr>
        <w:t>Thành viên thực hiện đề tài: 0,064</w:t>
      </w:r>
    </w:p>
    <w:p w14:paraId="6A033517" w14:textId="77777777" w:rsidR="008262D0" w:rsidRPr="008D4DFC" w:rsidRDefault="008262D0" w:rsidP="008262D0">
      <w:pPr>
        <w:autoSpaceDE w:val="0"/>
        <w:autoSpaceDN w:val="0"/>
        <w:adjustRightInd w:val="0"/>
        <w:spacing w:before="60" w:after="60" w:line="262" w:lineRule="auto"/>
        <w:ind w:firstLine="567"/>
        <w:jc w:val="both"/>
        <w:rPr>
          <w:bCs/>
          <w:sz w:val="25"/>
          <w:szCs w:val="25"/>
          <w:lang w:val="vi-VN"/>
        </w:rPr>
      </w:pPr>
      <w:r w:rsidRPr="008D4DFC">
        <w:rPr>
          <w:bCs/>
          <w:sz w:val="25"/>
          <w:szCs w:val="25"/>
          <w:lang w:val="vi-VN"/>
        </w:rPr>
        <w:t xml:space="preserve">- Tiền công thực hiện đề tài </w:t>
      </w:r>
      <w:r w:rsidRPr="008D4DFC">
        <w:rPr>
          <w:b/>
          <w:bCs/>
          <w:sz w:val="25"/>
          <w:szCs w:val="25"/>
          <w:lang w:val="vi-VN"/>
        </w:rPr>
        <w:t>(Tc)</w:t>
      </w:r>
      <w:r w:rsidRPr="008D4DFC">
        <w:rPr>
          <w:bCs/>
          <w:sz w:val="25"/>
          <w:szCs w:val="25"/>
          <w:lang w:val="vi-VN"/>
        </w:rPr>
        <w:t xml:space="preserve">: </w:t>
      </w:r>
    </w:p>
    <w:p w14:paraId="181898E3" w14:textId="77777777" w:rsidR="008262D0" w:rsidRPr="008D4DFC" w:rsidRDefault="008262D0" w:rsidP="008262D0">
      <w:pPr>
        <w:autoSpaceDE w:val="0"/>
        <w:autoSpaceDN w:val="0"/>
        <w:adjustRightInd w:val="0"/>
        <w:spacing w:before="60" w:after="60" w:line="262" w:lineRule="auto"/>
        <w:ind w:left="349" w:firstLine="785"/>
        <w:jc w:val="both"/>
        <w:rPr>
          <w:b/>
          <w:bCs/>
          <w:sz w:val="25"/>
          <w:szCs w:val="25"/>
          <w:lang w:val="vi-VN"/>
        </w:rPr>
      </w:pPr>
      <w:r w:rsidRPr="008D4DFC">
        <w:rPr>
          <w:b/>
          <w:bCs/>
          <w:sz w:val="25"/>
          <w:szCs w:val="25"/>
          <w:lang w:val="vi-VN"/>
        </w:rPr>
        <w:t xml:space="preserve">Tc = Lcs </w:t>
      </w:r>
      <w:r w:rsidRPr="008D4DFC">
        <w:rPr>
          <w:b/>
          <w:bCs/>
          <w:sz w:val="25"/>
          <w:szCs w:val="25"/>
          <w:lang w:val="vi-VN"/>
        </w:rPr>
        <w:sym w:font="Wingdings 2" w:char="00CD"/>
      </w:r>
      <w:r w:rsidRPr="008D4DFC">
        <w:rPr>
          <w:b/>
          <w:bCs/>
          <w:sz w:val="25"/>
          <w:szCs w:val="25"/>
          <w:lang w:val="vi-VN"/>
        </w:rPr>
        <w:t xml:space="preserve"> Hstcn </w:t>
      </w:r>
      <w:r w:rsidRPr="008D4DFC">
        <w:rPr>
          <w:b/>
          <w:bCs/>
          <w:sz w:val="25"/>
          <w:szCs w:val="25"/>
          <w:lang w:val="vi-VN"/>
        </w:rPr>
        <w:sym w:font="Wingdings 2" w:char="00CD"/>
      </w:r>
      <w:r w:rsidRPr="008D4DFC">
        <w:rPr>
          <w:b/>
          <w:bCs/>
          <w:sz w:val="25"/>
          <w:szCs w:val="25"/>
          <w:lang w:val="vi-VN"/>
        </w:rPr>
        <w:t xml:space="preserve"> Snc hay Tc = Tcn </w:t>
      </w:r>
      <w:r w:rsidRPr="008D4DFC">
        <w:rPr>
          <w:b/>
          <w:bCs/>
          <w:sz w:val="25"/>
          <w:szCs w:val="25"/>
          <w:lang w:val="vi-VN"/>
        </w:rPr>
        <w:sym w:font="Wingdings 2" w:char="00CD"/>
      </w:r>
      <w:r w:rsidRPr="008D4DFC">
        <w:rPr>
          <w:b/>
          <w:bCs/>
          <w:sz w:val="25"/>
          <w:szCs w:val="25"/>
          <w:lang w:val="vi-VN"/>
        </w:rPr>
        <w:t xml:space="preserve"> Snc</w:t>
      </w:r>
    </w:p>
    <w:p w14:paraId="02ADF4AA" w14:textId="77777777" w:rsidR="008262D0" w:rsidRPr="008D4DFC" w:rsidRDefault="008262D0" w:rsidP="008262D0">
      <w:pPr>
        <w:autoSpaceDE w:val="0"/>
        <w:autoSpaceDN w:val="0"/>
        <w:adjustRightInd w:val="0"/>
        <w:spacing w:before="60" w:after="60" w:line="262" w:lineRule="auto"/>
        <w:ind w:left="349"/>
        <w:jc w:val="both"/>
        <w:rPr>
          <w:bCs/>
          <w:sz w:val="25"/>
          <w:szCs w:val="25"/>
          <w:lang w:val="vi-VN"/>
        </w:rPr>
      </w:pPr>
      <w:r w:rsidRPr="008D4DFC">
        <w:rPr>
          <w:bCs/>
          <w:sz w:val="25"/>
          <w:szCs w:val="25"/>
          <w:lang w:val="vi-VN"/>
        </w:rPr>
        <w:t xml:space="preserve">                Trong đó: - </w:t>
      </w:r>
      <w:r w:rsidRPr="008D4DFC">
        <w:rPr>
          <w:b/>
          <w:bCs/>
          <w:sz w:val="25"/>
          <w:szCs w:val="25"/>
          <w:lang w:val="vi-VN"/>
        </w:rPr>
        <w:t>Lcs (</w:t>
      </w:r>
      <w:r w:rsidRPr="008D4DFC">
        <w:rPr>
          <w:bCs/>
          <w:sz w:val="25"/>
          <w:szCs w:val="25"/>
          <w:lang w:val="vi-VN"/>
        </w:rPr>
        <w:t>Lương cơ sở do Nhà nước quy định)</w:t>
      </w:r>
    </w:p>
    <w:p w14:paraId="668FDA13" w14:textId="77777777" w:rsidR="008262D0" w:rsidRPr="008D4DFC" w:rsidRDefault="008262D0" w:rsidP="008262D0">
      <w:pPr>
        <w:autoSpaceDE w:val="0"/>
        <w:autoSpaceDN w:val="0"/>
        <w:adjustRightInd w:val="0"/>
        <w:spacing w:before="60" w:after="60" w:line="262" w:lineRule="auto"/>
        <w:ind w:left="349"/>
        <w:jc w:val="both"/>
        <w:rPr>
          <w:bCs/>
          <w:sz w:val="25"/>
          <w:szCs w:val="25"/>
          <w:lang w:val="vi-VN"/>
        </w:rPr>
      </w:pPr>
      <w:r w:rsidRPr="008D4DFC">
        <w:rPr>
          <w:bCs/>
          <w:sz w:val="25"/>
          <w:szCs w:val="25"/>
          <w:lang w:val="vi-VN"/>
        </w:rPr>
        <w:t xml:space="preserve">                                 - </w:t>
      </w:r>
      <w:r w:rsidRPr="008D4DFC">
        <w:rPr>
          <w:b/>
          <w:bCs/>
          <w:sz w:val="25"/>
          <w:szCs w:val="25"/>
          <w:lang w:val="vi-VN"/>
        </w:rPr>
        <w:t>Snc:</w:t>
      </w:r>
      <w:r w:rsidRPr="008D4DFC">
        <w:rPr>
          <w:bCs/>
          <w:sz w:val="25"/>
          <w:szCs w:val="25"/>
          <w:lang w:val="vi-VN"/>
        </w:rPr>
        <w:t xml:space="preserve"> Số ngày công thực hiện đề tài;</w:t>
      </w:r>
    </w:p>
    <w:p w14:paraId="37ADED36" w14:textId="77777777" w:rsidR="008262D0" w:rsidRPr="008D4DFC" w:rsidRDefault="008262D0" w:rsidP="008262D0">
      <w:pPr>
        <w:autoSpaceDE w:val="0"/>
        <w:autoSpaceDN w:val="0"/>
        <w:adjustRightInd w:val="0"/>
        <w:spacing w:before="60" w:after="60" w:line="262" w:lineRule="auto"/>
        <w:ind w:left="349"/>
        <w:jc w:val="both"/>
        <w:rPr>
          <w:bCs/>
          <w:sz w:val="25"/>
          <w:szCs w:val="25"/>
          <w:lang w:val="vi-VN"/>
        </w:rPr>
      </w:pPr>
      <w:r w:rsidRPr="008D4DFC">
        <w:rPr>
          <w:bCs/>
          <w:sz w:val="25"/>
          <w:szCs w:val="25"/>
          <w:lang w:val="vi-VN"/>
        </w:rPr>
        <w:t xml:space="preserve">                                 - </w:t>
      </w:r>
      <w:r w:rsidRPr="008D4DFC">
        <w:rPr>
          <w:b/>
          <w:bCs/>
          <w:sz w:val="25"/>
          <w:szCs w:val="25"/>
          <w:lang w:val="vi-VN"/>
        </w:rPr>
        <w:t>Tcn</w:t>
      </w:r>
      <w:r w:rsidRPr="008D4DFC">
        <w:rPr>
          <w:bCs/>
          <w:sz w:val="25"/>
          <w:szCs w:val="25"/>
          <w:lang w:val="vi-VN"/>
        </w:rPr>
        <w:t xml:space="preserve"> = </w:t>
      </w:r>
      <w:r w:rsidRPr="008D4DFC">
        <w:rPr>
          <w:b/>
          <w:bCs/>
          <w:sz w:val="25"/>
          <w:szCs w:val="25"/>
          <w:lang w:val="vi-VN"/>
        </w:rPr>
        <w:t xml:space="preserve">Lcs </w:t>
      </w:r>
      <w:r w:rsidRPr="008D4DFC">
        <w:rPr>
          <w:b/>
          <w:bCs/>
          <w:sz w:val="25"/>
          <w:szCs w:val="25"/>
          <w:lang w:val="vi-VN"/>
        </w:rPr>
        <w:sym w:font="Wingdings 2" w:char="00CD"/>
      </w:r>
      <w:r w:rsidRPr="008D4DFC">
        <w:rPr>
          <w:b/>
          <w:bCs/>
          <w:sz w:val="25"/>
          <w:szCs w:val="25"/>
          <w:lang w:val="vi-VN"/>
        </w:rPr>
        <w:t xml:space="preserve"> Hstcn: </w:t>
      </w:r>
      <w:r w:rsidRPr="008D4DFC">
        <w:rPr>
          <w:bCs/>
          <w:sz w:val="25"/>
          <w:szCs w:val="25"/>
          <w:lang w:val="vi-VN"/>
        </w:rPr>
        <w:t xml:space="preserve">Tiền công thực hiện đề tài/1 ngày. </w:t>
      </w:r>
    </w:p>
    <w:p w14:paraId="26720716" w14:textId="77777777" w:rsidR="008262D0" w:rsidRPr="008D4DFC" w:rsidRDefault="008262D0" w:rsidP="008262D0">
      <w:pPr>
        <w:autoSpaceDE w:val="0"/>
        <w:autoSpaceDN w:val="0"/>
        <w:adjustRightInd w:val="0"/>
        <w:spacing w:before="60" w:after="60" w:line="262" w:lineRule="auto"/>
        <w:ind w:firstLine="567"/>
        <w:jc w:val="both"/>
        <w:rPr>
          <w:bCs/>
          <w:sz w:val="25"/>
          <w:szCs w:val="25"/>
          <w:lang w:val="vi-VN"/>
        </w:rPr>
      </w:pPr>
      <w:r w:rsidRPr="008D4DFC">
        <w:rPr>
          <w:bCs/>
          <w:sz w:val="25"/>
          <w:szCs w:val="25"/>
          <w:lang w:val="vi-VN"/>
        </w:rPr>
        <w:t xml:space="preserve">2. Chi hỗ trợ văn phòng phẩm, phô tô, in ấn: </w:t>
      </w:r>
    </w:p>
    <w:p w14:paraId="7F86A1FE" w14:textId="77777777" w:rsidR="008262D0" w:rsidRPr="008D4DFC" w:rsidRDefault="008262D0" w:rsidP="008262D0">
      <w:pPr>
        <w:autoSpaceDE w:val="0"/>
        <w:autoSpaceDN w:val="0"/>
        <w:adjustRightInd w:val="0"/>
        <w:spacing w:before="60" w:after="60" w:line="262" w:lineRule="auto"/>
        <w:ind w:firstLine="567"/>
        <w:jc w:val="both"/>
        <w:rPr>
          <w:bCs/>
          <w:sz w:val="25"/>
          <w:szCs w:val="25"/>
          <w:lang w:val="vi-VN"/>
        </w:rPr>
      </w:pPr>
      <w:r w:rsidRPr="008D4DFC">
        <w:rPr>
          <w:bCs/>
          <w:sz w:val="25"/>
          <w:szCs w:val="25"/>
          <w:lang w:val="vi-VN"/>
        </w:rPr>
        <w:t>3. Các đề tài có sản phẩm là Bài báo khoa học đăng trên tạp chí khoa học hoặc kỷ yếu hội nghị, hội thảo có phản biện được hỗ trợ thêm kinh phí.</w:t>
      </w:r>
    </w:p>
    <w:p w14:paraId="6B0186A8" w14:textId="77777777" w:rsidR="008262D0" w:rsidRPr="008D4DFC" w:rsidRDefault="008262D0" w:rsidP="008262D0">
      <w:pPr>
        <w:autoSpaceDE w:val="0"/>
        <w:autoSpaceDN w:val="0"/>
        <w:adjustRightInd w:val="0"/>
        <w:spacing w:before="60" w:after="60" w:line="262" w:lineRule="auto"/>
        <w:ind w:firstLine="567"/>
        <w:jc w:val="both"/>
        <w:rPr>
          <w:bCs/>
          <w:sz w:val="25"/>
          <w:szCs w:val="25"/>
          <w:lang w:val="vi-VN"/>
        </w:rPr>
      </w:pPr>
    </w:p>
    <w:p w14:paraId="3497BEC3" w14:textId="77777777" w:rsidR="008262D0" w:rsidRPr="008D4DFC" w:rsidRDefault="008262D0" w:rsidP="008262D0">
      <w:pPr>
        <w:spacing w:after="200" w:line="276" w:lineRule="auto"/>
        <w:rPr>
          <w:b/>
          <w:bCs/>
          <w:sz w:val="28"/>
          <w:szCs w:val="28"/>
          <w:lang w:val="vi-VN"/>
        </w:rPr>
      </w:pPr>
      <w:r w:rsidRPr="008D4DFC">
        <w:rPr>
          <w:b/>
          <w:bCs/>
          <w:sz w:val="28"/>
          <w:szCs w:val="28"/>
          <w:lang w:val="vi-VN"/>
        </w:rPr>
        <w:br w:type="page"/>
      </w:r>
    </w:p>
    <w:p w14:paraId="3C7E0FB0" w14:textId="77777777" w:rsidR="008262D0" w:rsidRPr="008D4DFC" w:rsidRDefault="008262D0" w:rsidP="008262D0">
      <w:pPr>
        <w:autoSpaceDE w:val="0"/>
        <w:autoSpaceDN w:val="0"/>
        <w:adjustRightInd w:val="0"/>
        <w:spacing w:before="60" w:after="60" w:line="262" w:lineRule="auto"/>
        <w:jc w:val="both"/>
        <w:rPr>
          <w:b/>
          <w:bCs/>
          <w:sz w:val="28"/>
          <w:szCs w:val="28"/>
          <w:lang w:val="vi-VN"/>
        </w:rPr>
      </w:pPr>
      <w:r w:rsidRPr="008D4DFC">
        <w:rPr>
          <w:b/>
          <w:bCs/>
          <w:sz w:val="28"/>
          <w:szCs w:val="28"/>
          <w:lang w:val="vi-VN"/>
        </w:rPr>
        <w:lastRenderedPageBreak/>
        <w:t xml:space="preserve">B. CÁC LĨNH VỰC NGHIÊN CỨU </w:t>
      </w:r>
    </w:p>
    <w:p w14:paraId="4B2CAC67" w14:textId="77777777" w:rsidR="008262D0" w:rsidRPr="008D4DFC" w:rsidRDefault="008262D0" w:rsidP="008262D0">
      <w:pPr>
        <w:spacing w:before="100" w:after="80" w:line="340" w:lineRule="exact"/>
        <w:ind w:firstLine="567"/>
        <w:jc w:val="both"/>
        <w:rPr>
          <w:rFonts w:eastAsia="Arial"/>
          <w:bCs/>
          <w:sz w:val="26"/>
          <w:szCs w:val="26"/>
          <w:lang w:val="vi-VN"/>
        </w:rPr>
      </w:pPr>
      <w:r w:rsidRPr="008D4DFC">
        <w:rPr>
          <w:rFonts w:eastAsia="Arial"/>
          <w:bCs/>
          <w:sz w:val="26"/>
          <w:szCs w:val="26"/>
          <w:lang w:val="vi-VN"/>
        </w:rPr>
        <w:t>1. Khoa học Tự nhiên (KHTN</w:t>
      </w:r>
      <w:r w:rsidRPr="008D4DFC">
        <w:rPr>
          <w:rFonts w:eastAsia="Arial"/>
          <w:sz w:val="26"/>
          <w:szCs w:val="26"/>
          <w:lang w:val="vi-VN"/>
        </w:rPr>
        <w:t>): T</w:t>
      </w:r>
      <w:r w:rsidRPr="008D4DFC">
        <w:rPr>
          <w:rFonts w:eastAsia="Arial"/>
          <w:bCs/>
          <w:sz w:val="26"/>
          <w:szCs w:val="26"/>
          <w:lang w:val="vi-VN"/>
        </w:rPr>
        <w:t xml:space="preserve">oán học và thống kê, khoa học máy tính và thông tin, vật lý, hóa học, khoa học trái đất và môi trường, sinh học, khoa học tự nhiên khác. </w:t>
      </w:r>
    </w:p>
    <w:p w14:paraId="0BDEC09D" w14:textId="77777777" w:rsidR="008262D0" w:rsidRPr="008D4DFC" w:rsidRDefault="008262D0" w:rsidP="008262D0">
      <w:pPr>
        <w:spacing w:before="100" w:after="80" w:line="340" w:lineRule="exact"/>
        <w:ind w:firstLine="567"/>
        <w:jc w:val="both"/>
        <w:rPr>
          <w:rFonts w:eastAsia="Arial"/>
          <w:bCs/>
          <w:sz w:val="26"/>
          <w:szCs w:val="26"/>
          <w:lang w:val="vi-VN"/>
        </w:rPr>
      </w:pPr>
      <w:r w:rsidRPr="008D4DFC">
        <w:rPr>
          <w:rFonts w:eastAsia="Arial"/>
          <w:bCs/>
          <w:sz w:val="26"/>
          <w:szCs w:val="26"/>
          <w:lang w:val="vi-VN"/>
        </w:rPr>
        <w:t xml:space="preserve">2. Kỹ thuật và Công nghệ (KTCN): Kỹ thuật dân dụng; kỹ thuật điện, kỹ thuật điện tử, kỹ thuật thông tin; kỹ thuật hóa học; kỹ thuật y học; kỹ thuật môi trường; công nghệ sinh học môi trường; công nghệ sinh học công nghiệp; công nghệ nano; khoa học kỹ thuật và công nghệ khác. </w:t>
      </w:r>
    </w:p>
    <w:p w14:paraId="7B900EAA" w14:textId="77777777" w:rsidR="008262D0" w:rsidRPr="008D4DFC" w:rsidRDefault="008262D0" w:rsidP="008262D0">
      <w:pPr>
        <w:spacing w:before="100" w:after="80" w:line="340" w:lineRule="exact"/>
        <w:ind w:firstLine="567"/>
        <w:jc w:val="both"/>
        <w:rPr>
          <w:rFonts w:eastAsia="Arial"/>
          <w:bCs/>
          <w:i/>
          <w:sz w:val="26"/>
          <w:szCs w:val="26"/>
          <w:lang w:val="vi-VN"/>
        </w:rPr>
      </w:pPr>
      <w:r w:rsidRPr="008D4DFC">
        <w:rPr>
          <w:rFonts w:eastAsia="Arial"/>
          <w:bCs/>
          <w:sz w:val="26"/>
          <w:szCs w:val="26"/>
          <w:lang w:val="vi-VN"/>
        </w:rPr>
        <w:t xml:space="preserve">3. Khoa học Y, Dược (KHYD): Y học cơ sở; y học lâm sàng; dược học; công nghệ sinh học trong y học; khoa học y, dược khác. </w:t>
      </w:r>
    </w:p>
    <w:p w14:paraId="608F8279" w14:textId="77777777" w:rsidR="008262D0" w:rsidRPr="008D4DFC" w:rsidRDefault="008262D0" w:rsidP="008262D0">
      <w:pPr>
        <w:spacing w:before="100" w:after="80" w:line="340" w:lineRule="exact"/>
        <w:ind w:firstLine="567"/>
        <w:jc w:val="both"/>
        <w:rPr>
          <w:rFonts w:eastAsia="Arial"/>
          <w:bCs/>
          <w:i/>
          <w:sz w:val="26"/>
          <w:szCs w:val="26"/>
          <w:lang w:val="vi-VN"/>
        </w:rPr>
      </w:pPr>
      <w:r w:rsidRPr="008D4DFC">
        <w:rPr>
          <w:rFonts w:eastAsia="Arial"/>
          <w:bCs/>
          <w:sz w:val="26"/>
          <w:szCs w:val="26"/>
          <w:lang w:val="vi-VN"/>
        </w:rPr>
        <w:t xml:space="preserve">4. Khoa học Nông nghiệp (KHNN): Trồng trọt; chăn nuôi; thú y; thủy sản; công nghệ sinh học nông nghiệp; khoa học nông nghiệp khác. </w:t>
      </w:r>
    </w:p>
    <w:p w14:paraId="7C8D3964" w14:textId="77777777" w:rsidR="008262D0" w:rsidRPr="008D4DFC" w:rsidRDefault="008262D0" w:rsidP="008262D0">
      <w:pPr>
        <w:spacing w:before="100" w:after="80" w:line="340" w:lineRule="exact"/>
        <w:ind w:firstLine="567"/>
        <w:jc w:val="both"/>
        <w:rPr>
          <w:rFonts w:eastAsia="Arial"/>
          <w:bCs/>
          <w:sz w:val="26"/>
          <w:szCs w:val="26"/>
          <w:lang w:val="vi-VN"/>
        </w:rPr>
      </w:pPr>
      <w:r w:rsidRPr="008D4DFC">
        <w:rPr>
          <w:rFonts w:eastAsia="Arial"/>
          <w:bCs/>
          <w:sz w:val="26"/>
          <w:szCs w:val="26"/>
          <w:lang w:val="vi-VN"/>
        </w:rPr>
        <w:t>5. Khoa học Xã hội (KHXH):</w:t>
      </w:r>
      <w:r w:rsidRPr="008D4DFC">
        <w:rPr>
          <w:rFonts w:eastAsia="Arial"/>
          <w:b/>
          <w:bCs/>
          <w:sz w:val="26"/>
          <w:szCs w:val="26"/>
          <w:lang w:val="vi-VN"/>
        </w:rPr>
        <w:t xml:space="preserve"> </w:t>
      </w:r>
      <w:r w:rsidRPr="008D4DFC">
        <w:rPr>
          <w:rFonts w:eastAsia="Arial"/>
          <w:bCs/>
          <w:sz w:val="26"/>
          <w:szCs w:val="26"/>
          <w:lang w:val="vi-VN"/>
        </w:rPr>
        <w:t xml:space="preserve">Tâm lý học; kinh tế và kinh doanh; khoa học giáo dục; xã hội học; pháp luật; khoa học chính trị; địa lý kinh tế và xã hội; khoa học xã hội khác. </w:t>
      </w:r>
    </w:p>
    <w:p w14:paraId="7A7783BC" w14:textId="5D422AA9" w:rsidR="00475B86" w:rsidRDefault="008262D0" w:rsidP="00257894">
      <w:pPr>
        <w:spacing w:before="100" w:after="80" w:line="340" w:lineRule="exact"/>
        <w:ind w:firstLine="567"/>
        <w:jc w:val="both"/>
        <w:rPr>
          <w:rFonts w:eastAsia="Arial"/>
          <w:bCs/>
          <w:sz w:val="26"/>
          <w:szCs w:val="26"/>
          <w:lang w:val="vi-VN"/>
        </w:rPr>
      </w:pPr>
      <w:r w:rsidRPr="008D4DFC">
        <w:rPr>
          <w:rFonts w:eastAsia="Arial"/>
          <w:bCs/>
          <w:sz w:val="26"/>
          <w:szCs w:val="26"/>
          <w:lang w:val="vi-VN"/>
        </w:rPr>
        <w:t>6. Khoa học Nhân văn (KHNV):</w:t>
      </w:r>
      <w:r w:rsidRPr="008D4DFC">
        <w:rPr>
          <w:rFonts w:eastAsia="Arial"/>
          <w:b/>
          <w:bCs/>
          <w:sz w:val="26"/>
          <w:szCs w:val="26"/>
          <w:lang w:val="vi-VN"/>
        </w:rPr>
        <w:t xml:space="preserve"> </w:t>
      </w:r>
      <w:r w:rsidRPr="008D4DFC">
        <w:rPr>
          <w:rFonts w:eastAsia="Arial"/>
          <w:bCs/>
          <w:sz w:val="26"/>
          <w:szCs w:val="26"/>
          <w:lang w:val="vi-VN"/>
        </w:rPr>
        <w:t>Lịch sử và khảo cổ học; ngôn ngữ học và văn học; triết học; đạo đức học và tôn giáo; nghệ thuật; khoa học nhân văn khác.</w:t>
      </w:r>
    </w:p>
    <w:p w14:paraId="4E6B7839" w14:textId="77777777" w:rsidR="00257894" w:rsidRPr="00257894" w:rsidRDefault="00257894" w:rsidP="00257894">
      <w:pPr>
        <w:spacing w:before="100" w:after="80" w:line="340" w:lineRule="exact"/>
        <w:ind w:firstLine="567"/>
        <w:jc w:val="both"/>
        <w:rPr>
          <w:rFonts w:eastAsia="Arial"/>
          <w:bCs/>
          <w:i/>
          <w:sz w:val="26"/>
          <w:szCs w:val="26"/>
          <w:lang w:val="vi-VN"/>
        </w:rPr>
      </w:pPr>
    </w:p>
    <w:sectPr w:rsidR="00257894" w:rsidRPr="00257894"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2D0"/>
    <w:rsid w:val="00257894"/>
    <w:rsid w:val="00475B86"/>
    <w:rsid w:val="008262D0"/>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BF52"/>
  <w15:chartTrackingRefBased/>
  <w15:docId w15:val="{759BDC9F-8461-4BCC-BB18-C03F80C9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D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Trọng Thuận Bảo Quý</cp:lastModifiedBy>
  <cp:revision>2</cp:revision>
  <dcterms:created xsi:type="dcterms:W3CDTF">2025-06-17T11:09:00Z</dcterms:created>
  <dcterms:modified xsi:type="dcterms:W3CDTF">2025-06-18T10:21:00Z</dcterms:modified>
</cp:coreProperties>
</file>